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C2" w:rsidRPr="00C465C2" w:rsidRDefault="00C465C2" w:rsidP="00C465C2">
      <w:pPr>
        <w:pStyle w:val="Kop1"/>
        <w:rPr>
          <w:rFonts w:ascii="Minion Pro" w:hAnsi="Minion Pro"/>
          <w:lang w:val="en-GB"/>
        </w:rPr>
      </w:pPr>
      <w:bookmarkStart w:id="0" w:name="_Toc402778497"/>
      <w:proofErr w:type="spellStart"/>
      <w:r w:rsidRPr="00C465C2">
        <w:rPr>
          <w:rFonts w:ascii="Minion Pro" w:hAnsi="Minion Pro"/>
          <w:lang w:val="en-GB"/>
        </w:rPr>
        <w:t>Bijlage</w:t>
      </w:r>
      <w:proofErr w:type="spellEnd"/>
      <w:r w:rsidRPr="00C465C2">
        <w:rPr>
          <w:rFonts w:ascii="Minion Pro" w:hAnsi="Minion Pro"/>
          <w:lang w:val="en-GB"/>
        </w:rPr>
        <w:t xml:space="preserve"> </w:t>
      </w:r>
      <w:bookmarkEnd w:id="0"/>
      <w:proofErr w:type="spellStart"/>
      <w:r w:rsidRPr="00C465C2">
        <w:rPr>
          <w:rFonts w:ascii="Minion Pro" w:hAnsi="Minion Pro"/>
          <w:lang w:val="en-GB"/>
        </w:rPr>
        <w:t>bij</w:t>
      </w:r>
      <w:proofErr w:type="spellEnd"/>
      <w:r w:rsidRPr="00C465C2">
        <w:rPr>
          <w:rFonts w:ascii="Minion Pro" w:hAnsi="Minion Pro"/>
          <w:lang w:val="en-GB"/>
        </w:rPr>
        <w:t xml:space="preserve"> </w:t>
      </w:r>
      <w:proofErr w:type="spellStart"/>
      <w:r w:rsidRPr="00C465C2">
        <w:rPr>
          <w:rFonts w:ascii="Minion Pro" w:hAnsi="Minion Pro"/>
          <w:i/>
          <w:lang w:val="en-GB"/>
        </w:rPr>
        <w:t>Ut</w:t>
      </w:r>
      <w:proofErr w:type="spellEnd"/>
      <w:r w:rsidRPr="00C465C2">
        <w:rPr>
          <w:rFonts w:ascii="Minion Pro" w:hAnsi="Minion Pro"/>
          <w:i/>
          <w:lang w:val="en-GB"/>
        </w:rPr>
        <w:t xml:space="preserve"> </w:t>
      </w:r>
      <w:proofErr w:type="spellStart"/>
      <w:r w:rsidRPr="00C465C2">
        <w:rPr>
          <w:rFonts w:ascii="Minion Pro" w:hAnsi="Minion Pro"/>
          <w:i/>
          <w:lang w:val="en-GB"/>
        </w:rPr>
        <w:t>poesis</w:t>
      </w:r>
      <w:proofErr w:type="spellEnd"/>
      <w:r w:rsidRPr="00C465C2">
        <w:rPr>
          <w:rFonts w:ascii="Minion Pro" w:hAnsi="Minion Pro"/>
          <w:i/>
          <w:lang w:val="en-GB"/>
        </w:rPr>
        <w:t xml:space="preserve"> </w:t>
      </w:r>
      <w:proofErr w:type="spellStart"/>
      <w:r w:rsidRPr="00C465C2">
        <w:rPr>
          <w:rFonts w:ascii="Minion Pro" w:hAnsi="Minion Pro"/>
          <w:i/>
          <w:lang w:val="en-GB"/>
        </w:rPr>
        <w:t>pictura</w:t>
      </w:r>
      <w:proofErr w:type="spellEnd"/>
      <w:r>
        <w:rPr>
          <w:rFonts w:ascii="Minion Pro" w:hAnsi="Minion Pro"/>
          <w:i/>
          <w:lang w:val="en-GB"/>
        </w:rPr>
        <w:t xml:space="preserve"> </w:t>
      </w:r>
      <w:r>
        <w:rPr>
          <w:rFonts w:ascii="Minion Pro" w:hAnsi="Minion Pro"/>
          <w:lang w:val="en-GB"/>
        </w:rPr>
        <w:t xml:space="preserve">– </w:t>
      </w:r>
      <w:proofErr w:type="spellStart"/>
      <w:r>
        <w:rPr>
          <w:rFonts w:ascii="Minion Pro" w:hAnsi="Minion Pro"/>
          <w:lang w:val="en-GB"/>
        </w:rPr>
        <w:t>Phoinix</w:t>
      </w:r>
      <w:proofErr w:type="spellEnd"/>
      <w:r>
        <w:rPr>
          <w:rFonts w:ascii="Minion Pro" w:hAnsi="Minion Pro"/>
          <w:lang w:val="en-GB"/>
        </w:rPr>
        <w:t xml:space="preserve"> 12...</w:t>
      </w:r>
      <w:bookmarkStart w:id="1" w:name="_GoBack"/>
      <w:bookmarkEnd w:id="1"/>
    </w:p>
    <w:p w:rsidR="00C465C2" w:rsidRPr="00C465C2" w:rsidRDefault="00C465C2" w:rsidP="00C465C2">
      <w:pPr>
        <w:rPr>
          <w:rFonts w:ascii="Minion Pro" w:hAnsi="Minion Pro"/>
          <w:lang w:val="en-GB"/>
        </w:rPr>
      </w:pPr>
      <w:r w:rsidRPr="00C465C2">
        <w:rPr>
          <w:rFonts w:ascii="Minion Pro" w:hAnsi="Minion Pro"/>
          <w:lang w:val="en-GB"/>
        </w:rPr>
        <w:t xml:space="preserve">Val. Fl. </w:t>
      </w:r>
      <w:r w:rsidRPr="00C465C2">
        <w:rPr>
          <w:rFonts w:ascii="Minion Pro" w:hAnsi="Minion Pro"/>
          <w:i/>
          <w:lang w:val="en-GB"/>
        </w:rPr>
        <w:t xml:space="preserve">Arg. </w:t>
      </w:r>
      <w:r w:rsidRPr="00C465C2">
        <w:rPr>
          <w:rFonts w:ascii="Minion Pro" w:hAnsi="Minion Pro"/>
          <w:lang w:val="en-GB"/>
        </w:rPr>
        <w:t>127-149</w:t>
      </w:r>
    </w:p>
    <w:tbl>
      <w:tblPr>
        <w:tblStyle w:val="Tabelraster"/>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C465C2" w:rsidRPr="00C465C2" w:rsidTr="00481B4C">
        <w:trPr>
          <w:trHeight w:val="1198"/>
        </w:trPr>
        <w:tc>
          <w:tcPr>
            <w:tcW w:w="5245" w:type="dxa"/>
          </w:tcPr>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constitit ut</w:t>
            </w:r>
            <w:r w:rsidRPr="00C465C2">
              <w:rPr>
                <w:rFonts w:ascii="Minion Pro" w:hAnsi="Minion Pro"/>
                <w:sz w:val="20"/>
                <w:szCs w:val="20"/>
                <w:lang w:val="it-IT"/>
              </w:rPr>
              <w:t>,</w:t>
            </w:r>
            <w:r w:rsidRPr="00C465C2">
              <w:rPr>
                <w:rFonts w:ascii="Minion Pro" w:hAnsi="Minion Pro"/>
                <w:sz w:val="20"/>
                <w:szCs w:val="20"/>
                <w:lang w:val="la-Latn"/>
              </w:rPr>
              <w:t xml:space="preserve"> longo moles non pervia ponto, </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puppis</w:t>
            </w:r>
            <w:r w:rsidRPr="00C465C2">
              <w:rPr>
                <w:rFonts w:ascii="Minion Pro" w:hAnsi="Minion Pro"/>
                <w:sz w:val="20"/>
                <w:szCs w:val="20"/>
              </w:rPr>
              <w:t>,</w:t>
            </w:r>
            <w:r w:rsidRPr="00C465C2">
              <w:rPr>
                <w:rFonts w:ascii="Minion Pro" w:hAnsi="Minion Pro"/>
                <w:sz w:val="20"/>
                <w:szCs w:val="20"/>
                <w:lang w:val="la-Latn"/>
              </w:rPr>
              <w:t xml:space="preserve"> et ut tenues subiere latentia cerae </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lumina, picturae varios superaddit honores.</w:t>
            </w:r>
          </w:p>
        </w:tc>
        <w:tc>
          <w:tcPr>
            <w:tcW w:w="5103" w:type="dxa"/>
          </w:tcPr>
          <w:p w:rsidR="00C465C2" w:rsidRPr="00C465C2" w:rsidRDefault="00C465C2" w:rsidP="00481B4C">
            <w:pPr>
              <w:spacing w:line="336" w:lineRule="auto"/>
              <w:rPr>
                <w:rFonts w:ascii="Minion Pro" w:hAnsi="Minion Pro"/>
                <w:sz w:val="20"/>
                <w:szCs w:val="20"/>
              </w:rPr>
            </w:pPr>
            <w:r w:rsidRPr="00C465C2">
              <w:rPr>
                <w:rFonts w:ascii="Minion Pro" w:hAnsi="Minion Pro"/>
                <w:sz w:val="20"/>
                <w:szCs w:val="20"/>
              </w:rPr>
              <w:t>Zodra het schip stond, een massa door een lange zeevaart niet te doordringen, en zodra de zachte was de verborgen gaten binnen is gegaan, voegt hij verschillende versieringen van schilderkunst extra toe.</w:t>
            </w:r>
          </w:p>
        </w:tc>
      </w:tr>
      <w:tr w:rsidR="00C465C2" w:rsidRPr="00C465C2" w:rsidTr="00481B4C">
        <w:trPr>
          <w:trHeight w:val="3134"/>
        </w:trPr>
        <w:tc>
          <w:tcPr>
            <w:tcW w:w="5245" w:type="dxa"/>
          </w:tcPr>
          <w:p w:rsidR="00C465C2" w:rsidRPr="00C465C2" w:rsidRDefault="00C465C2" w:rsidP="00481B4C">
            <w:pPr>
              <w:spacing w:line="480" w:lineRule="auto"/>
              <w:rPr>
                <w:rFonts w:ascii="Minion Pro" w:hAnsi="Minion Pro"/>
                <w:sz w:val="20"/>
                <w:szCs w:val="20"/>
                <w:lang w:val="la-Latn"/>
              </w:rPr>
            </w:pPr>
            <w:r w:rsidRPr="00C465C2">
              <w:rPr>
                <w:rFonts w:ascii="Minion Pro" w:hAnsi="Minion Pro"/>
                <w:sz w:val="20"/>
                <w:szCs w:val="20"/>
                <w:lang w:val="la-Latn"/>
              </w:rPr>
              <w:t xml:space="preserve">130 </w:t>
            </w:r>
            <w:r w:rsidRPr="00C465C2">
              <w:rPr>
                <w:rFonts w:ascii="Minion Pro" w:hAnsi="Minion Pro"/>
                <w:sz w:val="20"/>
                <w:szCs w:val="20"/>
              </w:rPr>
              <w:t xml:space="preserve">   </w:t>
            </w:r>
            <w:r w:rsidRPr="00C465C2">
              <w:rPr>
                <w:rFonts w:ascii="Minion Pro" w:hAnsi="Minion Pro"/>
                <w:sz w:val="20"/>
                <w:szCs w:val="20"/>
                <w:lang w:val="la-Latn"/>
              </w:rPr>
              <w:t xml:space="preserve">Hic insperatos Tyrrheni tergore piscis                    </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Peleos in thalamos vehitur Thetis; aequora delphin</w:t>
            </w:r>
          </w:p>
          <w:p w:rsidR="00C465C2" w:rsidRPr="00C465C2" w:rsidRDefault="00C465C2" w:rsidP="00481B4C">
            <w:pPr>
              <w:spacing w:line="480" w:lineRule="auto"/>
              <w:ind w:firstLine="317"/>
              <w:rPr>
                <w:rFonts w:ascii="Minion Pro" w:hAnsi="Minion Pro"/>
                <w:sz w:val="20"/>
                <w:szCs w:val="20"/>
              </w:rPr>
            </w:pPr>
            <w:r w:rsidRPr="00C465C2">
              <w:rPr>
                <w:rFonts w:ascii="Minion Pro" w:hAnsi="Minion Pro"/>
                <w:sz w:val="20"/>
                <w:szCs w:val="20"/>
                <w:lang w:val="la-Latn"/>
              </w:rPr>
              <w:t>corripit, &lt;ipsa&gt; sedet deiecta in lumina palla</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nec Iove maiorem nasci suspirat Achillem.</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hanc Panope Dotoque soror laetataque fluctu</w:t>
            </w:r>
          </w:p>
          <w:p w:rsidR="00C465C2" w:rsidRPr="00C465C2" w:rsidRDefault="00C465C2" w:rsidP="00481B4C">
            <w:pPr>
              <w:spacing w:line="480" w:lineRule="auto"/>
              <w:rPr>
                <w:rFonts w:ascii="Minion Pro" w:hAnsi="Minion Pro"/>
                <w:sz w:val="20"/>
                <w:szCs w:val="20"/>
                <w:lang w:val="la-Latn"/>
              </w:rPr>
            </w:pPr>
            <w:r w:rsidRPr="00C465C2">
              <w:rPr>
                <w:rFonts w:ascii="Minion Pro" w:hAnsi="Minion Pro"/>
                <w:sz w:val="20"/>
                <w:szCs w:val="20"/>
                <w:lang w:val="la-Latn"/>
              </w:rPr>
              <w:t xml:space="preserve">135 prosequitur nudis pariter Galatea lacertis                    </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antra petens; Siculo revocat de litore Cyclops.</w:t>
            </w:r>
          </w:p>
        </w:tc>
        <w:tc>
          <w:tcPr>
            <w:tcW w:w="5103" w:type="dxa"/>
          </w:tcPr>
          <w:p w:rsidR="00C465C2" w:rsidRPr="00C465C2" w:rsidRDefault="00C465C2" w:rsidP="00481B4C">
            <w:pPr>
              <w:spacing w:line="336" w:lineRule="auto"/>
              <w:rPr>
                <w:rFonts w:ascii="Minion Pro" w:hAnsi="Minion Pro"/>
                <w:sz w:val="20"/>
                <w:szCs w:val="20"/>
              </w:rPr>
            </w:pPr>
            <w:r w:rsidRPr="00C465C2">
              <w:rPr>
                <w:rFonts w:ascii="Minion Pro" w:hAnsi="Minion Pro"/>
                <w:sz w:val="20"/>
                <w:szCs w:val="20"/>
              </w:rPr>
              <w:t xml:space="preserve">(130) Hier wordt Thetis op de rug van een </w:t>
            </w:r>
            <w:proofErr w:type="spellStart"/>
            <w:r w:rsidRPr="00C465C2">
              <w:rPr>
                <w:rFonts w:ascii="Minion Pro" w:hAnsi="Minion Pro"/>
                <w:sz w:val="20"/>
                <w:szCs w:val="20"/>
              </w:rPr>
              <w:t>Tyrrheense</w:t>
            </w:r>
            <w:proofErr w:type="spellEnd"/>
            <w:r w:rsidRPr="00C465C2">
              <w:rPr>
                <w:rFonts w:ascii="Minion Pro" w:hAnsi="Minion Pro"/>
                <w:sz w:val="20"/>
                <w:szCs w:val="20"/>
              </w:rPr>
              <w:t xml:space="preserve"> vis naar het niet gehoopte huwelijksbed van Peleus gebracht; de dolfijn haast zich over het zeevlak, zij(zelf) zit erop, een mantel over haar ogen gegooid, en ze verzucht dat Achilles niet groter dan Jupiter wordt geboren. Haar begeleiden </w:t>
            </w:r>
            <w:proofErr w:type="spellStart"/>
            <w:r w:rsidRPr="00C465C2">
              <w:rPr>
                <w:rFonts w:ascii="Minion Pro" w:hAnsi="Minion Pro"/>
                <w:sz w:val="20"/>
                <w:szCs w:val="20"/>
              </w:rPr>
              <w:t>Panope</w:t>
            </w:r>
            <w:proofErr w:type="spellEnd"/>
            <w:r w:rsidRPr="00C465C2">
              <w:rPr>
                <w:rFonts w:ascii="Minion Pro" w:hAnsi="Minion Pro"/>
                <w:sz w:val="20"/>
                <w:szCs w:val="20"/>
              </w:rPr>
              <w:t xml:space="preserve"> en haar zus </w:t>
            </w:r>
            <w:proofErr w:type="spellStart"/>
            <w:r w:rsidRPr="00C465C2">
              <w:rPr>
                <w:rFonts w:ascii="Minion Pro" w:hAnsi="Minion Pro"/>
                <w:sz w:val="20"/>
                <w:szCs w:val="20"/>
              </w:rPr>
              <w:t>Doto</w:t>
            </w:r>
            <w:proofErr w:type="spellEnd"/>
            <w:r w:rsidRPr="00C465C2">
              <w:rPr>
                <w:rFonts w:ascii="Minion Pro" w:hAnsi="Minion Pro"/>
                <w:sz w:val="20"/>
                <w:szCs w:val="20"/>
              </w:rPr>
              <w:t xml:space="preserve"> en, zich verheugend over de golven, (135) </w:t>
            </w:r>
            <w:proofErr w:type="spellStart"/>
            <w:r w:rsidRPr="00C465C2">
              <w:rPr>
                <w:rFonts w:ascii="Minion Pro" w:hAnsi="Minion Pro"/>
                <w:sz w:val="20"/>
                <w:szCs w:val="20"/>
              </w:rPr>
              <w:t>Galatea</w:t>
            </w:r>
            <w:proofErr w:type="spellEnd"/>
            <w:r w:rsidRPr="00C465C2">
              <w:rPr>
                <w:rFonts w:ascii="Minion Pro" w:hAnsi="Minion Pro"/>
                <w:sz w:val="20"/>
                <w:szCs w:val="20"/>
              </w:rPr>
              <w:t xml:space="preserve"> met onbedekte armen, tegelijkertijd op weg naar de grotten; de Cycloop roept haar terug vanaf de Siciliaanse kust.</w:t>
            </w:r>
          </w:p>
        </w:tc>
      </w:tr>
      <w:tr w:rsidR="00C465C2" w:rsidRPr="00C465C2" w:rsidTr="00481B4C">
        <w:trPr>
          <w:trHeight w:val="1380"/>
        </w:trPr>
        <w:tc>
          <w:tcPr>
            <w:tcW w:w="5245" w:type="dxa"/>
          </w:tcPr>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contra ignis viridique torus de fronde dapesque</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vinaque et aequoreos inter cum coniuge divos</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Aeacides pulsatque chelyn post pocula Chiron.</w:t>
            </w:r>
          </w:p>
        </w:tc>
        <w:tc>
          <w:tcPr>
            <w:tcW w:w="5103" w:type="dxa"/>
          </w:tcPr>
          <w:p w:rsidR="00C465C2" w:rsidRPr="00C465C2" w:rsidRDefault="00C465C2" w:rsidP="00481B4C">
            <w:pPr>
              <w:spacing w:line="336" w:lineRule="auto"/>
              <w:rPr>
                <w:rFonts w:ascii="Minion Pro" w:hAnsi="Minion Pro"/>
                <w:sz w:val="20"/>
                <w:szCs w:val="20"/>
              </w:rPr>
            </w:pPr>
            <w:r w:rsidRPr="00C465C2">
              <w:rPr>
                <w:rFonts w:ascii="Minion Pro" w:hAnsi="Minion Pro"/>
                <w:sz w:val="20"/>
                <w:szCs w:val="20"/>
              </w:rPr>
              <w:t xml:space="preserve">Daartegenover een vuur en een bed van groen loof en een feestmaal en wijn en tussen de zeegoden met zijn vrouw de zoon van </w:t>
            </w:r>
            <w:proofErr w:type="spellStart"/>
            <w:r w:rsidRPr="00C465C2">
              <w:rPr>
                <w:rFonts w:ascii="Minion Pro" w:hAnsi="Minion Pro"/>
                <w:sz w:val="20"/>
                <w:szCs w:val="20"/>
              </w:rPr>
              <w:t>Aeacus</w:t>
            </w:r>
            <w:proofErr w:type="spellEnd"/>
            <w:r w:rsidRPr="00C465C2">
              <w:rPr>
                <w:rFonts w:ascii="Minion Pro" w:hAnsi="Minion Pro"/>
                <w:sz w:val="20"/>
                <w:szCs w:val="20"/>
              </w:rPr>
              <w:t xml:space="preserve"> en na het drinken tokkelt Chiron op de lier.</w:t>
            </w:r>
          </w:p>
        </w:tc>
      </w:tr>
      <w:tr w:rsidR="00C465C2" w:rsidRPr="00C465C2" w:rsidTr="00481B4C">
        <w:trPr>
          <w:trHeight w:val="2175"/>
        </w:trPr>
        <w:tc>
          <w:tcPr>
            <w:tcW w:w="5245" w:type="dxa"/>
          </w:tcPr>
          <w:p w:rsidR="00C465C2" w:rsidRPr="00C465C2" w:rsidRDefault="00C465C2" w:rsidP="00481B4C">
            <w:pPr>
              <w:spacing w:line="480" w:lineRule="auto"/>
              <w:rPr>
                <w:rFonts w:ascii="Minion Pro" w:hAnsi="Minion Pro"/>
                <w:sz w:val="20"/>
                <w:szCs w:val="20"/>
                <w:lang w:val="la-Latn"/>
              </w:rPr>
            </w:pPr>
            <w:r w:rsidRPr="00C465C2">
              <w:rPr>
                <w:rFonts w:ascii="Minion Pro" w:hAnsi="Minion Pro"/>
                <w:sz w:val="20"/>
                <w:szCs w:val="20"/>
                <w:lang w:val="la-Latn"/>
              </w:rPr>
              <w:t xml:space="preserve">140 parte alia Pholoe multoque insanus Iaccho                    </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Rhoecus et Atracia subitae de virgine pugnae.</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crateres mensaeque volant araeque deorum</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poculaque, insignis veterum labor. optimus hasta</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hic Peleus, hic ense furens agnoscitur Aeson.</w:t>
            </w:r>
          </w:p>
        </w:tc>
        <w:tc>
          <w:tcPr>
            <w:tcW w:w="5103" w:type="dxa"/>
          </w:tcPr>
          <w:p w:rsidR="00C465C2" w:rsidRPr="00C465C2" w:rsidRDefault="00C465C2" w:rsidP="00481B4C">
            <w:pPr>
              <w:spacing w:line="336" w:lineRule="auto"/>
              <w:rPr>
                <w:rFonts w:ascii="Minion Pro" w:hAnsi="Minion Pro"/>
                <w:sz w:val="20"/>
                <w:szCs w:val="20"/>
              </w:rPr>
            </w:pPr>
            <w:r w:rsidRPr="00C465C2">
              <w:rPr>
                <w:rFonts w:ascii="Minion Pro" w:hAnsi="Minion Pro"/>
                <w:sz w:val="20"/>
                <w:szCs w:val="20"/>
              </w:rPr>
              <w:t xml:space="preserve">(140) Op de andere kant </w:t>
            </w:r>
            <w:proofErr w:type="spellStart"/>
            <w:r w:rsidRPr="00C465C2">
              <w:rPr>
                <w:rFonts w:ascii="Minion Pro" w:hAnsi="Minion Pro"/>
                <w:sz w:val="20"/>
                <w:szCs w:val="20"/>
              </w:rPr>
              <w:t>Pholoe</w:t>
            </w:r>
            <w:proofErr w:type="spellEnd"/>
            <w:r w:rsidRPr="00C465C2">
              <w:rPr>
                <w:rFonts w:ascii="Minion Pro" w:hAnsi="Minion Pro"/>
                <w:sz w:val="20"/>
                <w:szCs w:val="20"/>
              </w:rPr>
              <w:t xml:space="preserve"> en </w:t>
            </w:r>
            <w:proofErr w:type="spellStart"/>
            <w:r w:rsidRPr="00C465C2">
              <w:rPr>
                <w:rFonts w:ascii="Minion Pro" w:hAnsi="Minion Pro"/>
                <w:sz w:val="20"/>
                <w:szCs w:val="20"/>
              </w:rPr>
              <w:t>Rhoecus</w:t>
            </w:r>
            <w:proofErr w:type="spellEnd"/>
            <w:r w:rsidRPr="00C465C2">
              <w:rPr>
                <w:rFonts w:ascii="Minion Pro" w:hAnsi="Minion Pro"/>
                <w:sz w:val="20"/>
                <w:szCs w:val="20"/>
              </w:rPr>
              <w:t xml:space="preserve">, door veel wijn waanzinnig, en het plotselinge </w:t>
            </w:r>
            <w:r w:rsidRPr="00C465C2">
              <w:rPr>
                <w:rFonts w:ascii="Minion Pro" w:hAnsi="Minion Pro"/>
                <w:sz w:val="20"/>
                <w:szCs w:val="20"/>
              </w:rPr>
              <w:t xml:space="preserve">gevecht om de </w:t>
            </w:r>
            <w:proofErr w:type="spellStart"/>
            <w:r w:rsidRPr="00C465C2">
              <w:rPr>
                <w:rFonts w:ascii="Minion Pro" w:hAnsi="Minion Pro"/>
                <w:sz w:val="20"/>
                <w:szCs w:val="20"/>
              </w:rPr>
              <w:t>Atracische</w:t>
            </w:r>
            <w:proofErr w:type="spellEnd"/>
            <w:r w:rsidRPr="00C465C2">
              <w:rPr>
                <w:rFonts w:ascii="Minion Pro" w:hAnsi="Minion Pro"/>
                <w:sz w:val="20"/>
                <w:szCs w:val="20"/>
              </w:rPr>
              <w:t xml:space="preserve"> maagd. </w:t>
            </w:r>
            <w:r w:rsidRPr="00C465C2">
              <w:rPr>
                <w:rFonts w:ascii="Minion Pro" w:hAnsi="Minion Pro"/>
                <w:sz w:val="20"/>
                <w:szCs w:val="20"/>
              </w:rPr>
              <w:t xml:space="preserve">Mengkruiken en tafels vliegen in het </w:t>
            </w:r>
            <w:proofErr w:type="gramStart"/>
            <w:r w:rsidRPr="00C465C2">
              <w:rPr>
                <w:rFonts w:ascii="Minion Pro" w:hAnsi="Minion Pro"/>
                <w:sz w:val="20"/>
                <w:szCs w:val="20"/>
              </w:rPr>
              <w:t>rond</w:t>
            </w:r>
            <w:proofErr w:type="gramEnd"/>
            <w:r w:rsidRPr="00C465C2">
              <w:rPr>
                <w:rFonts w:ascii="Minion Pro" w:hAnsi="Minion Pro"/>
                <w:sz w:val="20"/>
                <w:szCs w:val="20"/>
              </w:rPr>
              <w:t xml:space="preserve"> en altaren van goden en bekers, uitstekend vakwerk van ouden. Hier Peleus, de beste met een speer, hier wordt Aeson herkend, razend met een zwaard.</w:t>
            </w:r>
          </w:p>
        </w:tc>
      </w:tr>
      <w:tr w:rsidR="00C465C2" w:rsidRPr="00C465C2" w:rsidTr="00481B4C">
        <w:trPr>
          <w:trHeight w:val="2122"/>
        </w:trPr>
        <w:tc>
          <w:tcPr>
            <w:tcW w:w="5245" w:type="dxa"/>
          </w:tcPr>
          <w:p w:rsidR="00C465C2" w:rsidRPr="00C465C2" w:rsidRDefault="00C465C2" w:rsidP="00481B4C">
            <w:pPr>
              <w:spacing w:line="480" w:lineRule="auto"/>
              <w:rPr>
                <w:rFonts w:ascii="Minion Pro" w:hAnsi="Minion Pro"/>
                <w:sz w:val="20"/>
                <w:szCs w:val="20"/>
                <w:lang w:val="la-Latn"/>
              </w:rPr>
            </w:pPr>
            <w:r w:rsidRPr="00C465C2">
              <w:rPr>
                <w:rFonts w:ascii="Minion Pro" w:hAnsi="Minion Pro"/>
                <w:sz w:val="20"/>
                <w:szCs w:val="20"/>
                <w:lang w:val="la-Latn"/>
              </w:rPr>
              <w:t xml:space="preserve">145 fert gravis invito victorem Nestora tergo                    </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Monychus, ardenti peragit Clanis Actora quercu.</w:t>
            </w:r>
          </w:p>
          <w:p w:rsidR="00C465C2" w:rsidRPr="00C465C2" w:rsidRDefault="00C465C2" w:rsidP="00481B4C">
            <w:pPr>
              <w:spacing w:line="480" w:lineRule="auto"/>
              <w:ind w:firstLine="317"/>
              <w:rPr>
                <w:rFonts w:ascii="Minion Pro" w:hAnsi="Minion Pro"/>
                <w:sz w:val="20"/>
                <w:szCs w:val="20"/>
                <w:lang w:val="la-Latn"/>
              </w:rPr>
            </w:pPr>
            <w:r w:rsidRPr="00C465C2">
              <w:rPr>
                <w:rFonts w:ascii="Minion Pro" w:hAnsi="Minion Pro"/>
                <w:sz w:val="20"/>
                <w:szCs w:val="20"/>
                <w:lang w:val="la-Latn"/>
              </w:rPr>
              <w:t>nigro Nessus equo fugit adclinisque tapetis</w:t>
            </w:r>
          </w:p>
          <w:p w:rsidR="00C465C2" w:rsidRPr="00C465C2" w:rsidRDefault="00C465C2" w:rsidP="00481B4C">
            <w:pPr>
              <w:spacing w:line="480" w:lineRule="auto"/>
              <w:ind w:firstLine="317"/>
              <w:rPr>
                <w:rFonts w:ascii="Minion Pro" w:hAnsi="Minion Pro"/>
                <w:sz w:val="20"/>
                <w:szCs w:val="20"/>
                <w:lang w:val="en-GB"/>
              </w:rPr>
            </w:pPr>
            <w:r w:rsidRPr="00C465C2">
              <w:rPr>
                <w:rFonts w:ascii="Minion Pro" w:hAnsi="Minion Pro"/>
                <w:sz w:val="20"/>
                <w:szCs w:val="20"/>
                <w:lang w:val="la-Latn"/>
              </w:rPr>
              <w:t xml:space="preserve">in mediis vacuo condit caput Hippasus auro. </w:t>
            </w:r>
          </w:p>
          <w:p w:rsidR="00C465C2" w:rsidRPr="00C465C2" w:rsidRDefault="00C465C2" w:rsidP="00481B4C">
            <w:pPr>
              <w:spacing w:line="480" w:lineRule="auto"/>
              <w:ind w:firstLine="317"/>
              <w:rPr>
                <w:rFonts w:ascii="Minion Pro" w:hAnsi="Minion Pro"/>
                <w:sz w:val="20"/>
                <w:szCs w:val="20"/>
                <w:lang w:val="it-IT"/>
              </w:rPr>
            </w:pPr>
            <w:r w:rsidRPr="00C465C2">
              <w:rPr>
                <w:rFonts w:ascii="Minion Pro" w:hAnsi="Minion Pro"/>
                <w:sz w:val="20"/>
                <w:szCs w:val="20"/>
                <w:lang w:val="en-GB"/>
              </w:rPr>
              <w:t xml:space="preserve"> </w:t>
            </w:r>
            <w:r w:rsidRPr="00C465C2">
              <w:rPr>
                <w:rFonts w:ascii="Minion Pro" w:hAnsi="Minion Pro"/>
                <w:sz w:val="20"/>
                <w:szCs w:val="20"/>
                <w:lang w:val="it-IT"/>
              </w:rPr>
              <w:t>Nec, quamquam miranda viris, stupet Aesone natus,</w:t>
            </w:r>
          </w:p>
        </w:tc>
        <w:tc>
          <w:tcPr>
            <w:tcW w:w="5103" w:type="dxa"/>
          </w:tcPr>
          <w:p w:rsidR="00C465C2" w:rsidRPr="00C465C2" w:rsidRDefault="00C465C2" w:rsidP="00481B4C">
            <w:pPr>
              <w:spacing w:line="336" w:lineRule="auto"/>
              <w:rPr>
                <w:rFonts w:ascii="Minion Pro" w:hAnsi="Minion Pro"/>
                <w:sz w:val="20"/>
                <w:szCs w:val="20"/>
              </w:rPr>
            </w:pPr>
            <w:r w:rsidRPr="00C465C2">
              <w:rPr>
                <w:rFonts w:ascii="Minion Pro" w:hAnsi="Minion Pro"/>
                <w:sz w:val="20"/>
                <w:szCs w:val="20"/>
              </w:rPr>
              <w:t xml:space="preserve">(145) </w:t>
            </w:r>
            <w:proofErr w:type="spellStart"/>
            <w:r w:rsidRPr="00C465C2">
              <w:rPr>
                <w:rFonts w:ascii="Minion Pro" w:hAnsi="Minion Pro"/>
                <w:sz w:val="20"/>
                <w:szCs w:val="20"/>
              </w:rPr>
              <w:t>Monychus</w:t>
            </w:r>
            <w:proofErr w:type="spellEnd"/>
            <w:r w:rsidRPr="00C465C2">
              <w:rPr>
                <w:rFonts w:ascii="Minion Pro" w:hAnsi="Minion Pro"/>
                <w:sz w:val="20"/>
                <w:szCs w:val="20"/>
              </w:rPr>
              <w:t xml:space="preserve"> draagt moeizaam de overwinnende Nestor op zijn onvrijwillige rug, </w:t>
            </w:r>
            <w:proofErr w:type="spellStart"/>
            <w:r w:rsidRPr="00C465C2">
              <w:rPr>
                <w:rFonts w:ascii="Minion Pro" w:hAnsi="Minion Pro"/>
                <w:sz w:val="20"/>
                <w:szCs w:val="20"/>
              </w:rPr>
              <w:t>Clanis</w:t>
            </w:r>
            <w:proofErr w:type="spellEnd"/>
            <w:r w:rsidRPr="00C465C2">
              <w:rPr>
                <w:rFonts w:ascii="Minion Pro" w:hAnsi="Minion Pro"/>
                <w:sz w:val="20"/>
                <w:szCs w:val="20"/>
              </w:rPr>
              <w:t xml:space="preserve"> jaagt Actor op met een brandende eik. Nessus, met een zwart paardenlijf, vlucht en in het midden leunend op de kleden verbergt </w:t>
            </w:r>
            <w:proofErr w:type="spellStart"/>
            <w:r w:rsidRPr="00C465C2">
              <w:rPr>
                <w:rFonts w:ascii="Minion Pro" w:hAnsi="Minion Pro"/>
                <w:sz w:val="20"/>
                <w:szCs w:val="20"/>
              </w:rPr>
              <w:t>Hippasus</w:t>
            </w:r>
            <w:proofErr w:type="spellEnd"/>
            <w:r w:rsidRPr="00C465C2">
              <w:rPr>
                <w:rFonts w:ascii="Minion Pro" w:hAnsi="Minion Pro"/>
                <w:sz w:val="20"/>
                <w:szCs w:val="20"/>
              </w:rPr>
              <w:t xml:space="preserve"> zijn hoofd in een lege gouden beker.</w:t>
            </w:r>
          </w:p>
          <w:p w:rsidR="00C465C2" w:rsidRPr="00C465C2" w:rsidRDefault="00C465C2" w:rsidP="00481B4C">
            <w:pPr>
              <w:spacing w:line="336" w:lineRule="auto"/>
              <w:rPr>
                <w:rFonts w:ascii="Minion Pro" w:hAnsi="Minion Pro"/>
                <w:sz w:val="20"/>
                <w:szCs w:val="20"/>
              </w:rPr>
            </w:pPr>
            <w:r w:rsidRPr="00C465C2">
              <w:rPr>
                <w:rFonts w:ascii="Minion Pro" w:hAnsi="Minion Pro"/>
                <w:sz w:val="20"/>
                <w:szCs w:val="20"/>
              </w:rPr>
              <w:t>En niet, hoewel wonderbaarlijk voor mannen (om te zien), verwondert de zoon van Aeson zich.</w:t>
            </w:r>
          </w:p>
        </w:tc>
      </w:tr>
    </w:tbl>
    <w:p w:rsidR="0090749D" w:rsidRPr="00C465C2" w:rsidRDefault="0090749D">
      <w:pPr>
        <w:rPr>
          <w:rFonts w:ascii="Minion Pro" w:hAnsi="Minion Pro"/>
        </w:rPr>
      </w:pPr>
    </w:p>
    <w:sectPr w:rsidR="0090749D" w:rsidRPr="00C46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C2"/>
    <w:rsid w:val="00075C55"/>
    <w:rsid w:val="00203B16"/>
    <w:rsid w:val="0025224D"/>
    <w:rsid w:val="00265AB8"/>
    <w:rsid w:val="00281B68"/>
    <w:rsid w:val="004659BE"/>
    <w:rsid w:val="005935C5"/>
    <w:rsid w:val="0060146E"/>
    <w:rsid w:val="00763338"/>
    <w:rsid w:val="0086055D"/>
    <w:rsid w:val="008C2233"/>
    <w:rsid w:val="0090749D"/>
    <w:rsid w:val="0096303A"/>
    <w:rsid w:val="00C465C2"/>
    <w:rsid w:val="00D46BA8"/>
    <w:rsid w:val="00DD6925"/>
    <w:rsid w:val="00E449C5"/>
    <w:rsid w:val="00E7649F"/>
    <w:rsid w:val="00EE1948"/>
    <w:rsid w:val="00F7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5C2"/>
    <w:pPr>
      <w:spacing w:after="0" w:line="360" w:lineRule="auto"/>
      <w:jc w:val="both"/>
    </w:pPr>
    <w:rPr>
      <w:rFonts w:ascii="Georgia" w:hAnsi="Georgia"/>
      <w:sz w:val="23"/>
      <w:lang w:val="nl-NL"/>
    </w:rPr>
  </w:style>
  <w:style w:type="paragraph" w:styleId="Kop1">
    <w:name w:val="heading 1"/>
    <w:basedOn w:val="Standaard"/>
    <w:next w:val="Standaard"/>
    <w:link w:val="Kop1Char"/>
    <w:uiPriority w:val="9"/>
    <w:qFormat/>
    <w:rsid w:val="00C465C2"/>
    <w:pPr>
      <w:keepNext/>
      <w:keepLines/>
      <w:spacing w:before="120" w:after="120" w:line="240" w:lineRule="auto"/>
      <w:outlineLvl w:val="0"/>
    </w:pPr>
    <w:rPr>
      <w:rFonts w:eastAsiaTheme="majorEastAsia" w:cstheme="majorBidi"/>
      <w:bCs/>
      <w:color w:val="808080" w:themeColor="background1" w:themeShade="80"/>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65C2"/>
    <w:rPr>
      <w:rFonts w:ascii="Georgia" w:eastAsiaTheme="majorEastAsia" w:hAnsi="Georgia" w:cstheme="majorBidi"/>
      <w:bCs/>
      <w:color w:val="808080" w:themeColor="background1" w:themeShade="80"/>
      <w:sz w:val="32"/>
      <w:szCs w:val="28"/>
      <w:lang w:val="nl-NL"/>
    </w:rPr>
  </w:style>
  <w:style w:type="table" w:styleId="Tabelraster">
    <w:name w:val="Table Grid"/>
    <w:basedOn w:val="Standaardtabel"/>
    <w:uiPriority w:val="59"/>
    <w:rsid w:val="00C465C2"/>
    <w:pPr>
      <w:spacing w:after="0" w:line="240" w:lineRule="auto"/>
    </w:pPr>
    <w:rPr>
      <w:rFonts w:ascii="Calibri" w:hAnsi="Calibri"/>
      <w:sz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5C2"/>
    <w:pPr>
      <w:spacing w:after="0" w:line="360" w:lineRule="auto"/>
      <w:jc w:val="both"/>
    </w:pPr>
    <w:rPr>
      <w:rFonts w:ascii="Georgia" w:hAnsi="Georgia"/>
      <w:sz w:val="23"/>
      <w:lang w:val="nl-NL"/>
    </w:rPr>
  </w:style>
  <w:style w:type="paragraph" w:styleId="Kop1">
    <w:name w:val="heading 1"/>
    <w:basedOn w:val="Standaard"/>
    <w:next w:val="Standaard"/>
    <w:link w:val="Kop1Char"/>
    <w:uiPriority w:val="9"/>
    <w:qFormat/>
    <w:rsid w:val="00C465C2"/>
    <w:pPr>
      <w:keepNext/>
      <w:keepLines/>
      <w:spacing w:before="120" w:after="120" w:line="240" w:lineRule="auto"/>
      <w:outlineLvl w:val="0"/>
    </w:pPr>
    <w:rPr>
      <w:rFonts w:eastAsiaTheme="majorEastAsia" w:cstheme="majorBidi"/>
      <w:bCs/>
      <w:color w:val="808080" w:themeColor="background1" w:themeShade="80"/>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65C2"/>
    <w:rPr>
      <w:rFonts w:ascii="Georgia" w:eastAsiaTheme="majorEastAsia" w:hAnsi="Georgia" w:cstheme="majorBidi"/>
      <w:bCs/>
      <w:color w:val="808080" w:themeColor="background1" w:themeShade="80"/>
      <w:sz w:val="32"/>
      <w:szCs w:val="28"/>
      <w:lang w:val="nl-NL"/>
    </w:rPr>
  </w:style>
  <w:style w:type="table" w:styleId="Tabelraster">
    <w:name w:val="Table Grid"/>
    <w:basedOn w:val="Standaardtabel"/>
    <w:uiPriority w:val="59"/>
    <w:rsid w:val="00C465C2"/>
    <w:pPr>
      <w:spacing w:after="0" w:line="240" w:lineRule="auto"/>
    </w:pPr>
    <w:rPr>
      <w:rFonts w:ascii="Calibri" w:hAnsi="Calibri"/>
      <w:sz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dc:creator>
  <cp:lastModifiedBy>Marije</cp:lastModifiedBy>
  <cp:revision>1</cp:revision>
  <dcterms:created xsi:type="dcterms:W3CDTF">2016-08-09T10:28:00Z</dcterms:created>
  <dcterms:modified xsi:type="dcterms:W3CDTF">2016-08-09T10:30:00Z</dcterms:modified>
</cp:coreProperties>
</file>